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2F" w:rsidRDefault="007A3F2F" w:rsidP="007A3F2F">
      <w:pPr>
        <w:pStyle w:val="Titolo"/>
        <w:rPr>
          <w:rStyle w:val="CharacterStyle3"/>
          <w:rFonts w:asciiTheme="majorHAnsi" w:hAnsiTheme="majorHAnsi" w:cstheme="majorBidi"/>
          <w:sz w:val="56"/>
          <w:szCs w:val="56"/>
        </w:rPr>
      </w:pPr>
      <w:r w:rsidRPr="007277E8">
        <w:rPr>
          <w:rStyle w:val="CharacterStyle3"/>
          <w:rFonts w:asciiTheme="majorHAnsi" w:hAnsiTheme="majorHAnsi" w:cstheme="majorBidi"/>
          <w:sz w:val="56"/>
          <w:szCs w:val="56"/>
        </w:rPr>
        <w:t xml:space="preserve">Allegato </w:t>
      </w:r>
      <w:r>
        <w:rPr>
          <w:rStyle w:val="CharacterStyle3"/>
          <w:rFonts w:asciiTheme="majorHAnsi" w:hAnsiTheme="majorHAnsi" w:cstheme="majorBidi"/>
          <w:sz w:val="56"/>
          <w:szCs w:val="56"/>
        </w:rPr>
        <w:t>2 bis</w:t>
      </w:r>
      <w:r w:rsidRPr="007277E8">
        <w:rPr>
          <w:rStyle w:val="CharacterStyle3"/>
          <w:rFonts w:asciiTheme="majorHAnsi" w:hAnsiTheme="majorHAnsi" w:cstheme="majorBidi"/>
          <w:sz w:val="56"/>
          <w:szCs w:val="56"/>
        </w:rPr>
        <w:t xml:space="preserve">: </w:t>
      </w:r>
      <w:r>
        <w:rPr>
          <w:rStyle w:val="CharacterStyle3"/>
          <w:rFonts w:asciiTheme="majorHAnsi" w:hAnsiTheme="majorHAnsi" w:cstheme="majorBidi"/>
          <w:sz w:val="56"/>
          <w:szCs w:val="56"/>
        </w:rPr>
        <w:t>Misure specifiche</w:t>
      </w:r>
    </w:p>
    <w:p w:rsidR="00133F85" w:rsidRPr="009F15BD" w:rsidRDefault="00133F85" w:rsidP="00133F85">
      <w:pPr>
        <w:rPr>
          <w:rStyle w:val="CharacterStyle3"/>
          <w:rFonts w:cs="Calibri"/>
          <w:spacing w:val="-4"/>
        </w:rPr>
      </w:pPr>
    </w:p>
    <w:p w:rsidR="00133F85" w:rsidRPr="009F15BD" w:rsidRDefault="00133F85" w:rsidP="00133F85">
      <w:pPr>
        <w:rPr>
          <w:rStyle w:val="CharacterStyle3"/>
          <w:rFonts w:cs="Calibri"/>
          <w:spacing w:val="-4"/>
        </w:rPr>
      </w:pP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</w:p>
    <w:p w:rsidR="007A3F2F" w:rsidRDefault="007A3F2F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Sulla base delle attività svolte all’interno del Consorzio sono state individuate le seguenti misure specifiche di prevenzione della Corruzione</w:t>
      </w:r>
      <w:r w:rsidR="00602786">
        <w:rPr>
          <w:rStyle w:val="CharacterStyle3"/>
          <w:rFonts w:asciiTheme="minorHAnsi" w:hAnsiTheme="minorHAnsi" w:cs="Calibri"/>
          <w:spacing w:val="-4"/>
          <w:sz w:val="22"/>
          <w:szCs w:val="22"/>
        </w:rPr>
        <w:t>, per</w:t>
      </w:r>
      <w:bookmarkStart w:id="0" w:name="_GoBack"/>
      <w:bookmarkEnd w:id="0"/>
      <w:r w:rsidR="00FA0CD9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4 delle 7 principali aree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.</w:t>
      </w:r>
    </w:p>
    <w:p w:rsidR="00133F85" w:rsidRPr="007A3F2F" w:rsidRDefault="007A3F2F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Esse fanno riferimento a</w:t>
      </w:r>
      <w:r w:rsidR="00133F85"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tutte le procedure utilizzate così come previste dalle norme di legge e dal Regolamento interno di amministrazione del Consorzio, con la documentazione necessaria a dimostrare la correttezza delle decisioni assunte, la trasparenza e l’integrità del comportamento decisionale e le modalità dei controlli da effettuarsi a posteriori dagli Organi di controllo interno, senza dimenticare un esame critico degli atti che potrà portare alla correzione e al perfezionamento delle procedure.</w:t>
      </w: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L'esercizio delle attività del Consorzio avviene nel rispetto dei principi della previsione e programmazione degli interventi e delle attività istituzionali, della verbalizzazione e motivazione delle determinazioni assunte in ordine a ciascun procedimento. Le principali misure di prevenzione specifiche sono</w:t>
      </w:r>
    </w:p>
    <w:p w:rsidR="00133F85" w:rsidRDefault="00FA0CD9" w:rsidP="008A190C">
      <w:pPr>
        <w:pStyle w:val="Titolo1"/>
        <w:numPr>
          <w:ilvl w:val="0"/>
          <w:numId w:val="0"/>
        </w:numPr>
        <w:ind w:left="432"/>
        <w:rPr>
          <w:rStyle w:val="CharacterStyle3"/>
          <w:rFonts w:asciiTheme="minorHAnsi" w:hAnsiTheme="minorHAnsi" w:cs="Calibri"/>
          <w:spacing w:val="1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>AREA</w:t>
      </w:r>
      <w:r w:rsidR="008A190C">
        <w:rPr>
          <w:rStyle w:val="CharacterStyle3"/>
          <w:rFonts w:asciiTheme="minorHAnsi" w:hAnsiTheme="minorHAnsi" w:cs="Calibri"/>
          <w:spacing w:val="1"/>
          <w:sz w:val="22"/>
          <w:szCs w:val="22"/>
        </w:rPr>
        <w:t xml:space="preserve"> 1</w:t>
      </w: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 xml:space="preserve">: </w:t>
      </w:r>
      <w:r w:rsidR="00133F85" w:rsidRPr="007A3F2F">
        <w:rPr>
          <w:rStyle w:val="CharacterStyle3"/>
          <w:rFonts w:asciiTheme="minorHAnsi" w:hAnsiTheme="minorHAnsi" w:cs="Calibri"/>
          <w:spacing w:val="1"/>
          <w:sz w:val="22"/>
          <w:szCs w:val="22"/>
        </w:rPr>
        <w:t>Misure di prevenzione relative al conferimento di incarichi</w:t>
      </w: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Tali misure comportano:</w:t>
      </w:r>
    </w:p>
    <w:p w:rsidR="00133F85" w:rsidRPr="007A3F2F" w:rsidRDefault="00133F85" w:rsidP="007A3F2F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la verifica preliminare in ordine all'opportunità della consulenza ed in merito all'insussistenza di situazioni di conflitto di interessi in capo ai consulenti;</w:t>
      </w:r>
    </w:p>
    <w:p w:rsidR="00133F85" w:rsidRPr="007A3F2F" w:rsidRDefault="00133F85" w:rsidP="007A3F2F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la decisione di affidare un incarico deve essere preceduta da una chiara indicazione delle esigenze del Consorzio ed essere adeguatamente motivata con particolare riferimento alle professionalità interne mancanti.</w:t>
      </w:r>
    </w:p>
    <w:p w:rsidR="00133F85" w:rsidRDefault="00133F85" w:rsidP="007A3F2F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proofErr w:type="gram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l'affidamento</w:t>
      </w:r>
      <w:proofErr w:type="gram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dell'incarico preceduto da una indagine di mercato finalizzata a individuare quali soggetti siano in grado di soddisfare le esigenze del Consorzio e da una comparazione in base a quanto suggerito dalle linee Guida di ANAC n. 1 del 14-9-2016</w:t>
      </w:r>
      <w:r w:rsidR="00FA0CD9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(aggiornate nel 2019)</w:t>
      </w: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.</w:t>
      </w:r>
    </w:p>
    <w:p w:rsidR="00FA0CD9" w:rsidRPr="007A3F2F" w:rsidRDefault="00FA0CD9" w:rsidP="007A3F2F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>
        <w:rPr>
          <w:rStyle w:val="CharacterStyle1"/>
          <w:rFonts w:asciiTheme="minorHAnsi" w:hAnsiTheme="minorHAnsi" w:cs="Calibri"/>
          <w:spacing w:val="3"/>
          <w:sz w:val="22"/>
          <w:szCs w:val="22"/>
        </w:rPr>
        <w:t>Richiesta del DURC (es a INARCASSA) cioè la regolarità cont</w:t>
      </w:r>
      <w:r w:rsidR="00920311">
        <w:rPr>
          <w:rStyle w:val="CharacterStyle1"/>
          <w:rFonts w:asciiTheme="minorHAnsi" w:hAnsiTheme="minorHAnsi" w:cs="Calibri"/>
          <w:spacing w:val="3"/>
          <w:sz w:val="22"/>
          <w:szCs w:val="22"/>
        </w:rPr>
        <w:t>r</w:t>
      </w:r>
      <w:r>
        <w:rPr>
          <w:rStyle w:val="CharacterStyle1"/>
          <w:rFonts w:asciiTheme="minorHAnsi" w:hAnsiTheme="minorHAnsi" w:cs="Calibri"/>
          <w:spacing w:val="3"/>
          <w:sz w:val="22"/>
          <w:szCs w:val="22"/>
        </w:rPr>
        <w:t>ibutiva.</w:t>
      </w:r>
    </w:p>
    <w:p w:rsidR="00133F85" w:rsidRPr="007A3F2F" w:rsidRDefault="00FA0CD9" w:rsidP="008A190C">
      <w:pPr>
        <w:pStyle w:val="Titolo1"/>
        <w:numPr>
          <w:ilvl w:val="0"/>
          <w:numId w:val="0"/>
        </w:numPr>
        <w:ind w:left="432"/>
        <w:rPr>
          <w:rStyle w:val="CharacterStyle3"/>
          <w:rFonts w:asciiTheme="minorHAnsi" w:hAnsiTheme="minorHAnsi" w:cs="Calibri"/>
          <w:spacing w:val="1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>AREA</w:t>
      </w:r>
      <w:r w:rsidR="008A190C">
        <w:rPr>
          <w:rStyle w:val="CharacterStyle3"/>
          <w:rFonts w:asciiTheme="minorHAnsi" w:hAnsiTheme="minorHAnsi" w:cs="Calibri"/>
          <w:spacing w:val="1"/>
          <w:sz w:val="22"/>
          <w:szCs w:val="22"/>
        </w:rPr>
        <w:t xml:space="preserve"> 2:</w:t>
      </w: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 xml:space="preserve"> </w:t>
      </w:r>
      <w:r w:rsidR="00133F85" w:rsidRPr="007A3F2F">
        <w:rPr>
          <w:rStyle w:val="CharacterStyle3"/>
          <w:rFonts w:asciiTheme="minorHAnsi" w:hAnsiTheme="minorHAnsi" w:cs="Calibri"/>
          <w:spacing w:val="1"/>
          <w:sz w:val="22"/>
          <w:szCs w:val="22"/>
        </w:rPr>
        <w:t>Misure di prevenzione relative ai Contratti pubblici</w:t>
      </w: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Misure di prevenzione generali:</w:t>
      </w:r>
    </w:p>
    <w:p w:rsidR="00133F85" w:rsidRPr="007A3F2F" w:rsidRDefault="00133F85" w:rsidP="007A3F2F">
      <w:pPr>
        <w:pStyle w:val="Paragrafoelenco"/>
        <w:numPr>
          <w:ilvl w:val="0"/>
          <w:numId w:val="8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adempimento di tutti gli obblighi di pubblicazione e informazione prescritti dalla legge nazionale e regionale in materia di contratti pubblici;</w:t>
      </w:r>
    </w:p>
    <w:p w:rsidR="00133F85" w:rsidRPr="007A3F2F" w:rsidRDefault="00133F85" w:rsidP="007A3F2F">
      <w:pPr>
        <w:pStyle w:val="Paragrafoelenco"/>
        <w:numPr>
          <w:ilvl w:val="0"/>
          <w:numId w:val="8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obbligo di motivazione in ordine alla scelta della procedura da adottare per gli affidamenti;</w:t>
      </w:r>
    </w:p>
    <w:p w:rsidR="00133F85" w:rsidRPr="007A3F2F" w:rsidRDefault="00133F85" w:rsidP="007A3F2F">
      <w:pPr>
        <w:pStyle w:val="Paragrafoelenco"/>
        <w:numPr>
          <w:ilvl w:val="0"/>
          <w:numId w:val="8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limitazione delle proroghe e delle varianti ai soli casi espressamente previsti dalla legge e previa adeguata motivazione;</w:t>
      </w:r>
    </w:p>
    <w:p w:rsidR="00133F85" w:rsidRDefault="00133F85" w:rsidP="007A3F2F">
      <w:pPr>
        <w:pStyle w:val="Paragrafoelenco"/>
        <w:numPr>
          <w:ilvl w:val="0"/>
          <w:numId w:val="8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proofErr w:type="gram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generazione</w:t>
      </w:r>
      <w:proofErr w:type="gram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del codice CIG per ogni affidamento e del codice CUP nei casi previsti dalla legge.</w:t>
      </w:r>
    </w:p>
    <w:p w:rsidR="00FA0CD9" w:rsidRPr="007A3F2F" w:rsidRDefault="00FA0CD9" w:rsidP="007A3F2F">
      <w:pPr>
        <w:pStyle w:val="Paragrafoelenco"/>
        <w:numPr>
          <w:ilvl w:val="0"/>
          <w:numId w:val="8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>
        <w:rPr>
          <w:rStyle w:val="CharacterStyle1"/>
          <w:rFonts w:asciiTheme="minorHAnsi" w:hAnsiTheme="minorHAnsi" w:cs="Calibri"/>
          <w:spacing w:val="3"/>
          <w:sz w:val="22"/>
          <w:szCs w:val="22"/>
        </w:rPr>
        <w:t>Utilizzare le procedure di gara informatiche (SINTEL, CONSIP)</w:t>
      </w:r>
      <w:r w:rsidR="00920311">
        <w:rPr>
          <w:rStyle w:val="CharacterStyle1"/>
          <w:rFonts w:asciiTheme="minorHAnsi" w:hAnsiTheme="minorHAnsi" w:cs="Calibri"/>
          <w:spacing w:val="3"/>
          <w:sz w:val="22"/>
          <w:szCs w:val="22"/>
        </w:rPr>
        <w:t>, se non troppo onerose operativamente</w:t>
      </w:r>
    </w:p>
    <w:p w:rsidR="00133F85" w:rsidRPr="007A3F2F" w:rsidRDefault="00133F85" w:rsidP="00133F85">
      <w:p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Misure di prevenzione relative ai procedimenti di scelta del contraente:</w:t>
      </w:r>
    </w:p>
    <w:p w:rsidR="00133F85" w:rsidRPr="007A3F2F" w:rsidRDefault="00133F85" w:rsidP="007A3F2F">
      <w:pPr>
        <w:pStyle w:val="Paragrafoelenco"/>
        <w:numPr>
          <w:ilvl w:val="0"/>
          <w:numId w:val="10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massimo riserbo relativamente all'identità delle imprese invitate da parte dei dipendenti che hanno scelto le imprese da invitare, quelli che provvedono alla registrazione a protocollo e alla spedizione degli inviti;</w:t>
      </w:r>
    </w:p>
    <w:p w:rsidR="00133F85" w:rsidRPr="007A3F2F" w:rsidRDefault="00133F85" w:rsidP="007A3F2F">
      <w:pPr>
        <w:pStyle w:val="Paragrafoelenco"/>
        <w:numPr>
          <w:ilvl w:val="0"/>
          <w:numId w:val="10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negli affidamenti diretti in economia di lavori ovvero per acquisti di beni e servizi, deve essere garantita un'adeguata rotazione degli operatori economici, laddove non in contrasto con le esigenze di efficacia ed economicità;</w:t>
      </w:r>
    </w:p>
    <w:p w:rsidR="00133F85" w:rsidRPr="007A3F2F" w:rsidRDefault="00133F85" w:rsidP="007A3F2F">
      <w:pPr>
        <w:pStyle w:val="Paragrafoelenco"/>
        <w:numPr>
          <w:ilvl w:val="0"/>
          <w:numId w:val="10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lastRenderedPageBreak/>
        <w:t>non possono di norma far parte delle commissioni di gara e/o delle commissioni giudicatrici i dipendenti che abbiano in essere, a titolo personale, contratti di qualunque genere ed importo, con le imprese partecipanti alla gara ovvero invitate a partecipare ad una procedura negoziata. Ciascun componente di commissione qualora si trovi nella suddetta condizione di potenziale conflitto di interessi deve segnalarlo preventivamente al Responsabile prevenzione della corruzione;</w:t>
      </w:r>
    </w:p>
    <w:p w:rsidR="00133F85" w:rsidRPr="007A3F2F" w:rsidRDefault="00133F85" w:rsidP="007A3F2F">
      <w:pPr>
        <w:pStyle w:val="Paragrafoelenco"/>
        <w:numPr>
          <w:ilvl w:val="0"/>
          <w:numId w:val="10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osservanza delle prescrizioni dettate in materia di iscrizione presso le White List delle Prefetture competenti per territorio;</w:t>
      </w:r>
    </w:p>
    <w:p w:rsidR="00133F85" w:rsidRPr="007A3F2F" w:rsidRDefault="00133F85" w:rsidP="007A3F2F">
      <w:pPr>
        <w:pStyle w:val="Paragrafoelenco"/>
        <w:numPr>
          <w:ilvl w:val="0"/>
          <w:numId w:val="10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contestualità dell'invio degli inviti a presentare offerte attestata alla data di assunzione al protocollo in uscita;</w:t>
      </w:r>
    </w:p>
    <w:p w:rsidR="00133F85" w:rsidRPr="007A3F2F" w:rsidRDefault="00133F85" w:rsidP="007A3F2F">
      <w:pPr>
        <w:pStyle w:val="Paragrafoelenco"/>
        <w:numPr>
          <w:ilvl w:val="0"/>
          <w:numId w:val="10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osservanza delle norme che regolano la nomina dei membri componenti le Commissioni di gara.</w:t>
      </w:r>
    </w:p>
    <w:p w:rsidR="00133F85" w:rsidRPr="007A3F2F" w:rsidRDefault="00133F85" w:rsidP="00133F85">
      <w:p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Misure di prevenzione in fase di verifica dell'aggiudicazione e stipula del contratto:</w:t>
      </w:r>
    </w:p>
    <w:p w:rsidR="00133F85" w:rsidRPr="007A3F2F" w:rsidRDefault="00133F85" w:rsidP="007A3F2F">
      <w:pPr>
        <w:pStyle w:val="Paragrafoelenco"/>
        <w:numPr>
          <w:ilvl w:val="0"/>
          <w:numId w:val="12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proofErr w:type="gram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controllo</w:t>
      </w:r>
      <w:proofErr w:type="gram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sulla regolarità contributiva delle imprese avente ad oggetto l'assolvimento da parte delle imprese dei pagamenti e degli adempimenti previdenziali assistenziali e assicurativi nonché di tutti gli obblighi previsti dalla normativa vigente nei confronti di </w:t>
      </w:r>
      <w:proofErr w:type="spell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lnps</w:t>
      </w:r>
      <w:proofErr w:type="spell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, </w:t>
      </w:r>
      <w:proofErr w:type="spell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Inail</w:t>
      </w:r>
      <w:proofErr w:type="spell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e Cassa Edile con attivazione delle procedure vigenti in materia</w:t>
      </w:r>
      <w:r w:rsidR="00FA0CD9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(richiesta DURC)</w:t>
      </w: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;</w:t>
      </w:r>
    </w:p>
    <w:p w:rsidR="00133F85" w:rsidRPr="007A3F2F" w:rsidRDefault="00133F85" w:rsidP="007A3F2F">
      <w:pPr>
        <w:pStyle w:val="Paragrafoelenco"/>
        <w:numPr>
          <w:ilvl w:val="0"/>
          <w:numId w:val="12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intervenuta presa visione e accettazione da parte dei contraenti del Piano Triennale di Prevenzione della Corruzione.</w:t>
      </w:r>
    </w:p>
    <w:p w:rsidR="00133F85" w:rsidRPr="007A3F2F" w:rsidRDefault="00133F85" w:rsidP="00133F85">
      <w:p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Misure di prevenzione in fase di esecuzione del contratto:</w:t>
      </w:r>
    </w:p>
    <w:p w:rsidR="00133F85" w:rsidRPr="007A3F2F" w:rsidRDefault="00133F85" w:rsidP="007A3F2F">
      <w:pPr>
        <w:pStyle w:val="Paragrafoelenco"/>
        <w:numPr>
          <w:ilvl w:val="0"/>
          <w:numId w:val="14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coinvolgimento e controllo da parte degli eventuali enti pubblici finanziatori o </w:t>
      </w:r>
      <w:proofErr w:type="spell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cofinanziatori</w:t>
      </w:r>
      <w:proofErr w:type="spell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(Stato, Regione, enti territoriali ed altri enti) della fase esecutivo-contabile dell'appalto;</w:t>
      </w:r>
    </w:p>
    <w:p w:rsidR="00133F85" w:rsidRPr="007A3F2F" w:rsidRDefault="00133F85" w:rsidP="007A3F2F">
      <w:pPr>
        <w:pStyle w:val="Paragrafoelenco"/>
        <w:numPr>
          <w:ilvl w:val="0"/>
          <w:numId w:val="14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in caso di sub-appalto effettuazione delle verifiche obbligatorie al sub-appaltatore;</w:t>
      </w:r>
    </w:p>
    <w:p w:rsidR="00133F85" w:rsidRPr="007A3F2F" w:rsidRDefault="00133F85" w:rsidP="007A3F2F">
      <w:pPr>
        <w:pStyle w:val="Paragrafoelenco"/>
        <w:numPr>
          <w:ilvl w:val="0"/>
          <w:numId w:val="14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limitazione di proroghe e varianti ai soli casi previsti dalla legge e previa adeguata motivazione;</w:t>
      </w:r>
    </w:p>
    <w:p w:rsidR="00133F85" w:rsidRPr="007A3F2F" w:rsidRDefault="00133F85" w:rsidP="007A3F2F">
      <w:pPr>
        <w:pStyle w:val="Paragrafoelenco"/>
        <w:numPr>
          <w:ilvl w:val="0"/>
          <w:numId w:val="14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tracciabilità e trasparenza di ogni fase decisionale del processo di approvvigionamento;</w:t>
      </w:r>
    </w:p>
    <w:p w:rsidR="00133F85" w:rsidRPr="007A3F2F" w:rsidRDefault="00133F85" w:rsidP="007A3F2F">
      <w:pPr>
        <w:pStyle w:val="Paragrafoelenco"/>
        <w:numPr>
          <w:ilvl w:val="0"/>
          <w:numId w:val="14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le persone che svolgono le funzioni di Responsabile del Procedimento, Direttore dei Lavori, Direttore Operativo, Ispettore di Cantiere, Coordinatore della sicurezza, Collaudatore, non possono, di norma a titolo personale, intrattenere rapporti economici e/o contrattuali di qualunque genere né avviare trattative con le imprese che hanno in corso di esecuzione contratti con il Consorzio fino a che non siano trascorsi almeno 3 mesi dalla emissione del certificato di collaudo ovvero del certificato di regolare esecuzione. Eventuali diverse situazioni devono essere preventivamente segnalate al Responsabile della Prevenzione della Corruzione;</w:t>
      </w:r>
    </w:p>
    <w:p w:rsidR="00133F85" w:rsidRPr="007A3F2F" w:rsidRDefault="00133F85" w:rsidP="007A3F2F">
      <w:pPr>
        <w:pStyle w:val="Paragrafoelenco"/>
        <w:numPr>
          <w:ilvl w:val="0"/>
          <w:numId w:val="14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Eventuale comunicazione delle varianti ad </w:t>
      </w:r>
      <w:proofErr w:type="spell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Anac</w:t>
      </w:r>
      <w:proofErr w:type="spell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nei casi previsti dalla legge.</w:t>
      </w:r>
    </w:p>
    <w:p w:rsidR="00133F85" w:rsidRPr="007A3F2F" w:rsidRDefault="00133F85" w:rsidP="00133F85">
      <w:p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Misure adottate in fase di rendicontazione:</w:t>
      </w:r>
    </w:p>
    <w:p w:rsidR="00133F85" w:rsidRPr="00306CCE" w:rsidRDefault="00133F85" w:rsidP="00306CCE">
      <w:pPr>
        <w:pStyle w:val="Paragrafoelenco"/>
        <w:numPr>
          <w:ilvl w:val="0"/>
          <w:numId w:val="16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306CCE">
        <w:rPr>
          <w:rStyle w:val="CharacterStyle1"/>
          <w:rFonts w:asciiTheme="minorHAnsi" w:hAnsiTheme="minorHAnsi" w:cs="Calibri"/>
          <w:spacing w:val="3"/>
          <w:sz w:val="22"/>
          <w:szCs w:val="22"/>
        </w:rPr>
        <w:t>assolvimento di tutti gli obblighi di pubblicazione previsti dalla legge nazionale e regionale;</w:t>
      </w:r>
    </w:p>
    <w:p w:rsidR="00133F85" w:rsidRPr="00306CCE" w:rsidRDefault="00133F85" w:rsidP="00306CCE">
      <w:pPr>
        <w:pStyle w:val="Paragrafoelenco"/>
        <w:numPr>
          <w:ilvl w:val="0"/>
          <w:numId w:val="16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306CCE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controllo da parte degli eventuali enti pubblici finanziatori o </w:t>
      </w:r>
      <w:proofErr w:type="spellStart"/>
      <w:r w:rsidRPr="00306CCE">
        <w:rPr>
          <w:rStyle w:val="CharacterStyle1"/>
          <w:rFonts w:asciiTheme="minorHAnsi" w:hAnsiTheme="minorHAnsi" w:cs="Calibri"/>
          <w:spacing w:val="3"/>
          <w:sz w:val="22"/>
          <w:szCs w:val="22"/>
        </w:rPr>
        <w:t>cofinanziatori</w:t>
      </w:r>
      <w:proofErr w:type="spellEnd"/>
      <w:r w:rsidRPr="00306CCE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(Stato, Regione, enti territoriali ed altri enti) della fase esecutivo-contabile dell'appalto.</w:t>
      </w:r>
    </w:p>
    <w:p w:rsidR="00133F85" w:rsidRPr="007A3F2F" w:rsidRDefault="008A190C" w:rsidP="008A190C">
      <w:pPr>
        <w:pStyle w:val="Titolo1"/>
        <w:numPr>
          <w:ilvl w:val="0"/>
          <w:numId w:val="0"/>
        </w:numPr>
        <w:ind w:left="432"/>
        <w:rPr>
          <w:rStyle w:val="CharacterStyle3"/>
          <w:rFonts w:asciiTheme="minorHAnsi" w:hAnsiTheme="minorHAnsi" w:cs="Calibri"/>
          <w:spacing w:val="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 xml:space="preserve">AREA 5: </w:t>
      </w:r>
      <w:r w:rsidR="00133F85" w:rsidRPr="007A3F2F">
        <w:rPr>
          <w:rStyle w:val="CharacterStyle3"/>
          <w:rFonts w:asciiTheme="minorHAnsi" w:hAnsiTheme="minorHAnsi" w:cs="Calibri"/>
          <w:spacing w:val="1"/>
          <w:sz w:val="22"/>
          <w:szCs w:val="22"/>
        </w:rPr>
        <w:t>Misure di prevenzione relative a Concorsi, prove selettive e procedure di selezione per l'assunzione</w:t>
      </w:r>
      <w:r w:rsidR="00133F85" w:rsidRPr="007A3F2F">
        <w:rPr>
          <w:rStyle w:val="CharacterStyle3"/>
          <w:rFonts w:asciiTheme="minorHAnsi" w:hAnsiTheme="minorHAnsi" w:cs="Calibri"/>
          <w:spacing w:val="4"/>
          <w:sz w:val="22"/>
          <w:szCs w:val="22"/>
        </w:rPr>
        <w:t xml:space="preserve"> di personale e progressioni di carriera.</w:t>
      </w: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Il Consorzio nell’operare la procedura di selezione si attiene al seguente ordine di priorità per tempi indeterminati: procedure di mobilità, assunzione dall’esterno secondo il CCNL, procedura di promozione.</w:t>
      </w: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Fino a nuove disposizioni, il Consorzio seguirà pertanto dette procedure.</w:t>
      </w: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Con riguardo alle eventuali progressioni di carriera, ad ogni livello (Dirigenti, Dipendenti, Operai), le stesse verranno segnalate sul sito, con tutti gli estremi amministrativi della determinazione.</w:t>
      </w:r>
    </w:p>
    <w:p w:rsidR="00133F85" w:rsidRPr="007A3F2F" w:rsidRDefault="008A190C" w:rsidP="008A190C">
      <w:pPr>
        <w:pStyle w:val="Titolo1"/>
        <w:numPr>
          <w:ilvl w:val="0"/>
          <w:numId w:val="0"/>
        </w:numPr>
        <w:ind w:left="432"/>
        <w:rPr>
          <w:rStyle w:val="CharacterStyle3"/>
          <w:rFonts w:asciiTheme="minorHAnsi" w:hAnsiTheme="minorHAnsi" w:cs="Calibri"/>
          <w:spacing w:val="1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 xml:space="preserve">AREA 7: </w:t>
      </w:r>
      <w:r w:rsidR="00133F85" w:rsidRPr="007A3F2F">
        <w:rPr>
          <w:rStyle w:val="CharacterStyle3"/>
          <w:rFonts w:asciiTheme="minorHAnsi" w:hAnsiTheme="minorHAnsi" w:cs="Calibri"/>
          <w:spacing w:val="1"/>
          <w:sz w:val="22"/>
          <w:szCs w:val="22"/>
        </w:rPr>
        <w:t>Misure di prevenzione relative a gestione e verifica strumentazione tecnica</w:t>
      </w: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Il consorzio nell’operare i controlli tecnici si è dotato di strumentazione elettronica i cui dati vengono trasmessi in tempo reale su</w:t>
      </w:r>
      <w:r w:rsidR="00920311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www.laghi.net, dove la maggior</w:t>
      </w: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parte dei dati della strumentazione è pubblica mentre una parte necessita di autorizzazione </w:t>
      </w:r>
      <w:r w:rsidR="008A190C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(registrazione e Password) </w:t>
      </w: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che viene concessa agli utenti e altri organismi istituzionali.</w:t>
      </w:r>
      <w:r w:rsidR="00FA0CD9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Vengono operati controlli fisici standard e random per verificare la taratura e veridicità dei dati raccolti degli strumenti periferici; si utilizzano anche reti con strumenti in parallelo (reti ARPA Lombardia, ARPA Emilia Romagna, Centro meteo lombardo</w:t>
      </w:r>
      <w:r w:rsidR="000E30D7">
        <w:rPr>
          <w:rStyle w:val="CharacterStyle3"/>
          <w:rFonts w:asciiTheme="minorHAnsi" w:hAnsiTheme="minorHAnsi" w:cs="Calibri"/>
          <w:spacing w:val="-4"/>
          <w:sz w:val="22"/>
          <w:szCs w:val="22"/>
        </w:rPr>
        <w:t>)</w:t>
      </w:r>
    </w:p>
    <w:p w:rsidR="00E00103" w:rsidRDefault="00E00103"/>
    <w:sectPr w:rsidR="00E00103" w:rsidSect="00133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FB" w:rsidRDefault="009552FB" w:rsidP="000E30D7">
      <w:pPr>
        <w:spacing w:line="240" w:lineRule="auto"/>
      </w:pPr>
      <w:r>
        <w:separator/>
      </w:r>
    </w:p>
  </w:endnote>
  <w:endnote w:type="continuationSeparator" w:id="0">
    <w:p w:rsidR="009552FB" w:rsidRDefault="009552FB" w:rsidP="000E3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D7" w:rsidRDefault="000E30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469549"/>
      <w:docPartObj>
        <w:docPartGallery w:val="Page Numbers (Bottom of Page)"/>
        <w:docPartUnique/>
      </w:docPartObj>
    </w:sdtPr>
    <w:sdtEndPr/>
    <w:sdtContent>
      <w:p w:rsidR="000E30D7" w:rsidRDefault="000E30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786">
          <w:rPr>
            <w:noProof/>
          </w:rPr>
          <w:t>3</w:t>
        </w:r>
        <w:r>
          <w:fldChar w:fldCharType="end"/>
        </w:r>
      </w:p>
    </w:sdtContent>
  </w:sdt>
  <w:p w:rsidR="000E30D7" w:rsidRDefault="000E30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D7" w:rsidRDefault="000E30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FB" w:rsidRDefault="009552FB" w:rsidP="000E30D7">
      <w:pPr>
        <w:spacing w:line="240" w:lineRule="auto"/>
      </w:pPr>
      <w:r>
        <w:separator/>
      </w:r>
    </w:p>
  </w:footnote>
  <w:footnote w:type="continuationSeparator" w:id="0">
    <w:p w:rsidR="009552FB" w:rsidRDefault="009552FB" w:rsidP="000E30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D7" w:rsidRDefault="000E30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D7" w:rsidRDefault="000E30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D7" w:rsidRDefault="000E30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F10"/>
    <w:multiLevelType w:val="hybridMultilevel"/>
    <w:tmpl w:val="07C8DAFC"/>
    <w:lvl w:ilvl="0" w:tplc="BFEAF606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39C008B"/>
    <w:multiLevelType w:val="hybridMultilevel"/>
    <w:tmpl w:val="EF8ED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5C94"/>
    <w:multiLevelType w:val="hybridMultilevel"/>
    <w:tmpl w:val="A78AF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0BD6"/>
    <w:multiLevelType w:val="hybridMultilevel"/>
    <w:tmpl w:val="6EB0F7D0"/>
    <w:lvl w:ilvl="0" w:tplc="9DA69A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3955"/>
    <w:multiLevelType w:val="hybridMultilevel"/>
    <w:tmpl w:val="3F727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E7B"/>
    <w:multiLevelType w:val="hybridMultilevel"/>
    <w:tmpl w:val="89AE6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31561"/>
    <w:multiLevelType w:val="hybridMultilevel"/>
    <w:tmpl w:val="CE7A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D686B"/>
    <w:multiLevelType w:val="hybridMultilevel"/>
    <w:tmpl w:val="779E48B6"/>
    <w:lvl w:ilvl="0" w:tplc="95F2CD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F069E"/>
    <w:multiLevelType w:val="hybridMultilevel"/>
    <w:tmpl w:val="DB4A4816"/>
    <w:lvl w:ilvl="0" w:tplc="C1964E4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C623D"/>
    <w:multiLevelType w:val="hybridMultilevel"/>
    <w:tmpl w:val="CF9AE69E"/>
    <w:lvl w:ilvl="0" w:tplc="C3D2CDD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118DC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3420AE3"/>
    <w:multiLevelType w:val="hybridMultilevel"/>
    <w:tmpl w:val="8A904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45C72"/>
    <w:multiLevelType w:val="hybridMultilevel"/>
    <w:tmpl w:val="83ACC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00DE7"/>
    <w:multiLevelType w:val="hybridMultilevel"/>
    <w:tmpl w:val="812034CA"/>
    <w:lvl w:ilvl="0" w:tplc="39888E7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50B6A"/>
    <w:multiLevelType w:val="multilevel"/>
    <w:tmpl w:val="E2EC30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4"/>
  </w:num>
  <w:num w:numId="3">
    <w:abstractNumId w:val="14"/>
  </w:num>
  <w:num w:numId="4">
    <w:abstractNumId w:val="10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85"/>
    <w:rsid w:val="000E30D7"/>
    <w:rsid w:val="00133F85"/>
    <w:rsid w:val="00223BA1"/>
    <w:rsid w:val="00306CCE"/>
    <w:rsid w:val="00317451"/>
    <w:rsid w:val="004D6BC6"/>
    <w:rsid w:val="00602786"/>
    <w:rsid w:val="006047E3"/>
    <w:rsid w:val="00722418"/>
    <w:rsid w:val="007A3F2F"/>
    <w:rsid w:val="008A190C"/>
    <w:rsid w:val="008A2704"/>
    <w:rsid w:val="00920311"/>
    <w:rsid w:val="009314FD"/>
    <w:rsid w:val="0094375C"/>
    <w:rsid w:val="009552FB"/>
    <w:rsid w:val="00BA0274"/>
    <w:rsid w:val="00BA66BB"/>
    <w:rsid w:val="00C071D4"/>
    <w:rsid w:val="00CB6C18"/>
    <w:rsid w:val="00E00103"/>
    <w:rsid w:val="00F2626C"/>
    <w:rsid w:val="00F901D3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50C97-AA02-4EA5-A019-1BBCA1AA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F85"/>
    <w:pPr>
      <w:spacing w:after="0" w:line="276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3F2F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3F2F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A3F2F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3F2F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A3F2F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A3F2F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A3F2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A3F2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A3F2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133F85"/>
    <w:rPr>
      <w:rFonts w:ascii="Tahoma" w:hAnsi="Tahoma" w:cs="Tahoma"/>
      <w:sz w:val="21"/>
      <w:szCs w:val="21"/>
    </w:rPr>
  </w:style>
  <w:style w:type="character" w:customStyle="1" w:styleId="CharacterStyle3">
    <w:name w:val="Character Style 3"/>
    <w:uiPriority w:val="99"/>
    <w:rsid w:val="00133F85"/>
    <w:rPr>
      <w:rFonts w:ascii="Times" w:hAnsi="Times" w:cs="Times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7A3F2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A3F2F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Paragrafoelenco">
    <w:name w:val="List Paragraph"/>
    <w:basedOn w:val="Normale"/>
    <w:uiPriority w:val="34"/>
    <w:qFormat/>
    <w:rsid w:val="007A3F2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A3F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3F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A3F2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3F2F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3F2F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A3F2F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A3F2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A3F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A3F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30D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D7"/>
    <w:rPr>
      <w:rFonts w:ascii="Calibri" w:eastAsia="Calibri" w:hAnsi="Calibr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30D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D7"/>
    <w:rPr>
      <w:rFonts w:ascii="Calibri" w:eastAsia="Calibri" w:hAnsi="Calibr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BALZAROLO</dc:creator>
  <cp:keywords/>
  <dc:description/>
  <cp:lastModifiedBy>Tec02 Tecnico02</cp:lastModifiedBy>
  <cp:revision>6</cp:revision>
  <dcterms:created xsi:type="dcterms:W3CDTF">2019-02-15T00:28:00Z</dcterms:created>
  <dcterms:modified xsi:type="dcterms:W3CDTF">2023-01-31T11:39:00Z</dcterms:modified>
</cp:coreProperties>
</file>