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2F" w:rsidRDefault="007A3F2F" w:rsidP="007A3F2F">
      <w:pPr>
        <w:pStyle w:val="Titolo"/>
        <w:rPr>
          <w:rStyle w:val="CharacterStyle3"/>
          <w:rFonts w:asciiTheme="majorHAnsi" w:hAnsiTheme="majorHAnsi" w:cstheme="majorBidi"/>
          <w:sz w:val="56"/>
          <w:szCs w:val="56"/>
        </w:rPr>
      </w:pP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 xml:space="preserve">Allegato </w:t>
      </w:r>
      <w:r>
        <w:rPr>
          <w:rStyle w:val="CharacterStyle3"/>
          <w:rFonts w:asciiTheme="majorHAnsi" w:hAnsiTheme="majorHAnsi" w:cstheme="majorBidi"/>
          <w:sz w:val="56"/>
          <w:szCs w:val="56"/>
        </w:rPr>
        <w:t>2 bis</w:t>
      </w: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 xml:space="preserve">: </w:t>
      </w:r>
      <w:r>
        <w:rPr>
          <w:rStyle w:val="CharacterStyle3"/>
          <w:rFonts w:asciiTheme="majorHAnsi" w:hAnsiTheme="majorHAnsi" w:cstheme="majorBidi"/>
          <w:sz w:val="56"/>
          <w:szCs w:val="56"/>
        </w:rPr>
        <w:t>Misure specifiche</w:t>
      </w:r>
    </w:p>
    <w:p w:rsidR="00133F85" w:rsidRPr="009F15BD" w:rsidRDefault="00133F85" w:rsidP="00133F85">
      <w:pPr>
        <w:rPr>
          <w:rStyle w:val="CharacterStyle3"/>
          <w:rFonts w:cs="Calibri"/>
          <w:spacing w:val="-4"/>
        </w:rPr>
      </w:pPr>
    </w:p>
    <w:p w:rsidR="00133F85" w:rsidRPr="009F15BD" w:rsidRDefault="00133F85" w:rsidP="00133F85">
      <w:pPr>
        <w:rPr>
          <w:rStyle w:val="CharacterStyle3"/>
          <w:rFonts w:cs="Calibri"/>
          <w:spacing w:val="-4"/>
        </w:rPr>
      </w:pP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7A3F2F" w:rsidRDefault="007A3F2F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Sulla base delle attività svolte all’interno del Consorzio sono state individuate le seguenti misure specifiche di prevenzione della Corruzione</w:t>
      </w:r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>, per le 4 delle 7 principali aree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.</w:t>
      </w:r>
    </w:p>
    <w:p w:rsidR="00133F85" w:rsidRPr="007A3F2F" w:rsidRDefault="007A3F2F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Esse fanno riferimento a</w:t>
      </w:r>
      <w:r w:rsidR="00133F85"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tutte le procedure utilizzate così come previste dalle norme di legge e dal Regolamento interno di amministrazione del Consorzio, con la documentazione necessaria a dimostrare la correttezza delle decisioni assunte, la trasparenza e l’integrità del comportamento decisionale e le modalità dei controlli da effettuarsi a posteriori dagli Organi di controllo interno, senza dimenticare un esame critico degli atti che potrà portare alla correzione e al perfezionamento delle procedure.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L'esercizio delle attività del Consorzio avviene nel rispetto dei principi della previsione e programmazione degli interventi e delle attività istituzionali, della verbalizzazione e motivazione delle determinazioni assunte in ordine a ciascun procedimento. Le principali misure di prevenzione specifiche sono</w:t>
      </w:r>
    </w:p>
    <w:p w:rsidR="00133F85" w:rsidRDefault="00FA0CD9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AREA</w:t>
      </w:r>
      <w:r w:rsidR="008A190C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1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al conferimento di incarichi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Tali misure comportano:</w:t>
      </w:r>
    </w:p>
    <w:p w:rsidR="00133F85" w:rsidRPr="007A3F2F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la verifica preliminare in ordine all'opportunità della consulenza ed in merito all'insussistenza di situazioni di conflitto di interessi in capo ai consulenti;</w:t>
      </w:r>
    </w:p>
    <w:p w:rsidR="00133F85" w:rsidRPr="007A3F2F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la decisione di affidare un incarico deve essere preceduta da una chiara indicazione delle esigenze del Consorzio ed essere adeguatamente motivata con particolare riferimento alle professionalità interne mancanti.</w:t>
      </w:r>
    </w:p>
    <w:p w:rsidR="00133F85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l'affidamento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dell'incarico preceduto da una indagine di mercato finalizzata a individuare quali soggetti siano in grado di soddisfare le esigenze del Consorzio e da una comparazione in base a quanto suggerito dalle linee Guida di ANAC n. 1 del 14-9-2016</w:t>
      </w:r>
      <w:r w:rsidR="00FA0CD9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(aggiornate nel 2019)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.</w:t>
      </w:r>
    </w:p>
    <w:p w:rsidR="00FA0CD9" w:rsidRPr="007A3F2F" w:rsidRDefault="00FA0CD9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Richiesta del DURC (es a INARCASSA) cioè la regolarità </w:t>
      </w:r>
      <w:proofErr w:type="spellStart"/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contibutiva</w:t>
      </w:r>
      <w:proofErr w:type="spellEnd"/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.</w:t>
      </w:r>
    </w:p>
    <w:p w:rsidR="00133F85" w:rsidRPr="007A3F2F" w:rsidRDefault="00FA0CD9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AREA</w:t>
      </w:r>
      <w:r w:rsidR="008A190C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2: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ai Contratti pubblici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Misure di prevenzione generali: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adempimento di tutti gli obblighi di pubblicazione e informazione prescritti dalla legge nazionale e regionale in materia di contratti pubblici;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obbligo di motivazione in ordine alla scelta della procedura da adottare per gli affidamenti;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limitazione delle proroghe e delle varianti ai soli casi espressamente previsti dalla legge e previa adeguata motivazione;</w:t>
      </w:r>
    </w:p>
    <w:p w:rsidR="00133F85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generazione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del codice CIG per ogni affidamento e del codice CUP nei casi previsti dalla legge.</w:t>
      </w:r>
    </w:p>
    <w:p w:rsidR="00FA0CD9" w:rsidRPr="007A3F2F" w:rsidRDefault="00FA0CD9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Utilizzare le procedure di gara informatiche (SINTEL, CONSIP)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relative ai procedimenti di scelta del contraente: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massimo riserbo relativamente all'identità delle imprese invitate da parte dei dipendenti che hanno scelto le imprese da invitare, quelli che provvedono alla registrazione a protocollo e alla spedizione degli inviti;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negli affidamenti diretti in economia di lavori ovvero per acquisti di beni e servizi, deve essere garantita un'adeguata rotazione degli operatori economici, laddove non in contrasto con le esigenze di efficacia ed economicità;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non possono di norma far parte delle commissioni di gara e/o delle commissioni giudicatrici i dipendenti che abbiano in essere, a titolo personale, contratti di qualunque genere ed importo, 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lastRenderedPageBreak/>
        <w:t>con le imprese partecipanti alla gara ovvero invitate a partecipare ad una procedura negoziata. Ciascun componente di commissione qualora si trovi nella suddetta condizione di potenziale conflitto di interessi deve segnalarlo preventivamente al Responsabile prevenzione della corruzione;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osservanza delle prescrizioni dettate in materia di iscrizione presso le White List delle Prefetture competenti per territorio;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contestualità dell'invio degli inviti a presentare offerte attestata alla data di assunzione al protocollo in uscita;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osservanza delle norme che regolano la nomina dei membri componenti le Commissioni di gara.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in fase di verifica dell'aggiudicazione e stipula del contratto:</w:t>
      </w:r>
    </w:p>
    <w:p w:rsidR="00133F85" w:rsidRPr="007A3F2F" w:rsidRDefault="00133F85" w:rsidP="007A3F2F">
      <w:pPr>
        <w:pStyle w:val="Paragrafoelenco"/>
        <w:numPr>
          <w:ilvl w:val="0"/>
          <w:numId w:val="12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controllo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sulla regolarità contributiva delle imprese avente ad oggetto l'assolvimento da parte delle imprese dei pagamenti e degli adempimenti previdenziali assistenziali e assicurativi nonché di tutti gli obblighi previsti dalla normativa vigente nei confronti di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lnps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,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Inail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e Cassa Edile con attivazione delle procedure vigenti in materia</w:t>
      </w:r>
      <w:r w:rsidR="00FA0CD9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(richiesta DURC)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;</w:t>
      </w:r>
    </w:p>
    <w:p w:rsidR="00133F85" w:rsidRPr="007A3F2F" w:rsidRDefault="00133F85" w:rsidP="007A3F2F">
      <w:pPr>
        <w:pStyle w:val="Paragrafoelenco"/>
        <w:numPr>
          <w:ilvl w:val="0"/>
          <w:numId w:val="12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intervenuta presa visione e accettazione da parte dei contraenti del Piano Triennale di Prevenzione della Corruzione.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in fase di esecuzione del contratto: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coinvolgimento e controllo da parte degli eventuali enti pubblici finanziatori o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cofinanziatori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(Stato, Regione, enti territoriali ed altri enti) della fase esecutivo-contabile dell'appalto;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 caso di sub-appalto effettuazione delle verifiche obbligatorie al sub-appaltatore;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limitazione di proroghe e varianti ai soli casi previsti dalla legge e previa adeguata motivazione;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tracciabilità e trasparenza di ogni fase decisionale del processo di approvvigionamento;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le persone che svolgono le funzioni di Responsabile del Procedimento, Direttore dei Lavori, Direttore Operativo, Ispettore di Cantiere, Coordinatore della sicurezza, Collaudatore, non possono, di norma a titolo personale, intrattenere rapporti economici e/o contrattuali di qualunque genere né avviare trattative con le imprese che hanno in corso di esecuzione contratti con il Consorzio fino a che non siano trascorsi almeno 3 mesi dalla emissione del certificato di collaudo ovvero del certificato di regolare esecuzione. Eventuali diverse situazioni devono essere preventivamente segnalate al Responsabile della Prevenzione della Corruzione;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Eventuale comunicazione delle varianti ad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Anac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nei casi previsti dalla legge.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adottate in fase di rendicontazione:</w:t>
      </w:r>
    </w:p>
    <w:p w:rsidR="00133F85" w:rsidRPr="00306CCE" w:rsidRDefault="00133F85" w:rsidP="00306CCE">
      <w:pPr>
        <w:pStyle w:val="Paragrafoelenco"/>
        <w:numPr>
          <w:ilvl w:val="0"/>
          <w:numId w:val="1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>assolvimento di tutti gli obblighi di pubblicazione previsti dalla legge nazionale e regionale;</w:t>
      </w:r>
    </w:p>
    <w:p w:rsidR="00133F85" w:rsidRPr="00306CCE" w:rsidRDefault="00133F85" w:rsidP="00306CCE">
      <w:pPr>
        <w:pStyle w:val="Paragrafoelenco"/>
        <w:numPr>
          <w:ilvl w:val="0"/>
          <w:numId w:val="1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controllo da parte degli eventuali enti pubblici finanziatori o </w:t>
      </w:r>
      <w:proofErr w:type="spellStart"/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>cofinanziatori</w:t>
      </w:r>
      <w:proofErr w:type="spellEnd"/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(Stato, Regione, enti territoriali ed altri enti) della fase esecutivo-contabile dell'appalto.</w:t>
      </w:r>
    </w:p>
    <w:p w:rsidR="00133F85" w:rsidRPr="007A3F2F" w:rsidRDefault="008A190C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AREA 5: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 Concorsi, prove selettive e procedure di selezione per l'assunzione</w:t>
      </w:r>
      <w:r w:rsidR="00133F85" w:rsidRPr="007A3F2F">
        <w:rPr>
          <w:rStyle w:val="CharacterStyle3"/>
          <w:rFonts w:asciiTheme="minorHAnsi" w:hAnsiTheme="minorHAnsi" w:cs="Calibri"/>
          <w:spacing w:val="4"/>
          <w:sz w:val="22"/>
          <w:szCs w:val="22"/>
        </w:rPr>
        <w:t xml:space="preserve"> di personale e progressioni di carriera.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nell’operare la procedura di selezione si attiene al seguente ordine di priorità per tempi indeterminati: procedure di mobilità, assunzione dall’esterno secondo il CCNL, procedura di promozione.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Fino a nuove disposizioni, il Consorzio seguirà pertanto dette procedure.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Con riguardo alle eventuali progressioni di carriera, ad ogni livello (Dirigenti, Dipendenti, Operai), le stesse verranno segnalate sul sito, con tutti gli estremi amministrativi della determinazione.</w:t>
      </w:r>
    </w:p>
    <w:p w:rsidR="00133F85" w:rsidRPr="007A3F2F" w:rsidRDefault="008A190C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AREA 7: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 gestione e verifica strumentazione tecnica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Il consorzio nell’operare i controlli tecnici si è dotato di strumentazione elettronica i cui dati vengono trasmessi in tempo reale su www.laghi.net, dove la maggiora parte dei dati della strumentazione è pubblica mentre una parte </w:t>
      </w: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lastRenderedPageBreak/>
        <w:t xml:space="preserve">necessita di autorizzazione </w:t>
      </w:r>
      <w:r w:rsidR="008A190C">
        <w:rPr>
          <w:rStyle w:val="CharacterStyle3"/>
          <w:rFonts w:asciiTheme="minorHAnsi" w:hAnsiTheme="minorHAnsi" w:cs="Calibri"/>
          <w:spacing w:val="-4"/>
          <w:sz w:val="22"/>
          <w:szCs w:val="22"/>
        </w:rPr>
        <w:t>(registrazione e P</w:t>
      </w:r>
      <w:bookmarkStart w:id="0" w:name="_GoBack"/>
      <w:bookmarkEnd w:id="0"/>
      <w:r w:rsidR="008A190C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assword) </w:t>
      </w: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che viene concessa agli utenti e altri organismi istituzionali.</w:t>
      </w:r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Vengono operati controlli fisici standard e random per verificare la taratura e veridicità dei dati raccolti degli strumenti periferici; si utilizzano anche reti con strumenti in parallelo (reti ARPA Lombardia, ARPA Emilia Romagna, Centro meteo lombardo</w:t>
      </w:r>
      <w:r w:rsidR="000E30D7">
        <w:rPr>
          <w:rStyle w:val="CharacterStyle3"/>
          <w:rFonts w:asciiTheme="minorHAnsi" w:hAnsiTheme="minorHAnsi" w:cs="Calibri"/>
          <w:spacing w:val="-4"/>
          <w:sz w:val="22"/>
          <w:szCs w:val="22"/>
        </w:rPr>
        <w:t>)</w:t>
      </w:r>
    </w:p>
    <w:p w:rsidR="00E00103" w:rsidRDefault="00E00103"/>
    <w:sectPr w:rsidR="00E00103" w:rsidSect="0013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FB" w:rsidRDefault="009552FB" w:rsidP="000E30D7">
      <w:pPr>
        <w:spacing w:line="240" w:lineRule="auto"/>
      </w:pPr>
      <w:r>
        <w:separator/>
      </w:r>
    </w:p>
  </w:endnote>
  <w:endnote w:type="continuationSeparator" w:id="0">
    <w:p w:rsidR="009552FB" w:rsidRDefault="009552FB" w:rsidP="000E3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69549"/>
      <w:docPartObj>
        <w:docPartGallery w:val="Page Numbers (Bottom of Page)"/>
        <w:docPartUnique/>
      </w:docPartObj>
    </w:sdtPr>
    <w:sdtEndPr/>
    <w:sdtContent>
      <w:p w:rsidR="000E30D7" w:rsidRDefault="000E30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0C">
          <w:rPr>
            <w:noProof/>
          </w:rPr>
          <w:t>3</w:t>
        </w:r>
        <w:r>
          <w:fldChar w:fldCharType="end"/>
        </w:r>
      </w:p>
    </w:sdtContent>
  </w:sdt>
  <w:p w:rsidR="000E30D7" w:rsidRDefault="000E30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FB" w:rsidRDefault="009552FB" w:rsidP="000E30D7">
      <w:pPr>
        <w:spacing w:line="240" w:lineRule="auto"/>
      </w:pPr>
      <w:r>
        <w:separator/>
      </w:r>
    </w:p>
  </w:footnote>
  <w:footnote w:type="continuationSeparator" w:id="0">
    <w:p w:rsidR="009552FB" w:rsidRDefault="009552FB" w:rsidP="000E3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F10"/>
    <w:multiLevelType w:val="hybridMultilevel"/>
    <w:tmpl w:val="07C8DAFC"/>
    <w:lvl w:ilvl="0" w:tplc="BFEAF60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C008B"/>
    <w:multiLevelType w:val="hybridMultilevel"/>
    <w:tmpl w:val="EF8ED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C94"/>
    <w:multiLevelType w:val="hybridMultilevel"/>
    <w:tmpl w:val="A78A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BD6"/>
    <w:multiLevelType w:val="hybridMultilevel"/>
    <w:tmpl w:val="6EB0F7D0"/>
    <w:lvl w:ilvl="0" w:tplc="9DA69A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55"/>
    <w:multiLevelType w:val="hybridMultilevel"/>
    <w:tmpl w:val="3F72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E7B"/>
    <w:multiLevelType w:val="hybridMultilevel"/>
    <w:tmpl w:val="89AE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1561"/>
    <w:multiLevelType w:val="hybridMultilevel"/>
    <w:tmpl w:val="CE7A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86B"/>
    <w:multiLevelType w:val="hybridMultilevel"/>
    <w:tmpl w:val="779E48B6"/>
    <w:lvl w:ilvl="0" w:tplc="95F2CD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069E"/>
    <w:multiLevelType w:val="hybridMultilevel"/>
    <w:tmpl w:val="DB4A4816"/>
    <w:lvl w:ilvl="0" w:tplc="C1964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623D"/>
    <w:multiLevelType w:val="hybridMultilevel"/>
    <w:tmpl w:val="CF9AE69E"/>
    <w:lvl w:ilvl="0" w:tplc="C3D2CD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18D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420AE3"/>
    <w:multiLevelType w:val="hybridMultilevel"/>
    <w:tmpl w:val="8A904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C72"/>
    <w:multiLevelType w:val="hybridMultilevel"/>
    <w:tmpl w:val="83A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0DE7"/>
    <w:multiLevelType w:val="hybridMultilevel"/>
    <w:tmpl w:val="812034CA"/>
    <w:lvl w:ilvl="0" w:tplc="39888E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B6A"/>
    <w:multiLevelType w:val="multilevel"/>
    <w:tmpl w:val="E2EC30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85"/>
    <w:rsid w:val="000E30D7"/>
    <w:rsid w:val="00133F85"/>
    <w:rsid w:val="00223BA1"/>
    <w:rsid w:val="00306CCE"/>
    <w:rsid w:val="00317451"/>
    <w:rsid w:val="004D6BC6"/>
    <w:rsid w:val="006047E3"/>
    <w:rsid w:val="00722418"/>
    <w:rsid w:val="007A3F2F"/>
    <w:rsid w:val="008A190C"/>
    <w:rsid w:val="008A2704"/>
    <w:rsid w:val="009314FD"/>
    <w:rsid w:val="0094375C"/>
    <w:rsid w:val="009552FB"/>
    <w:rsid w:val="00BA0274"/>
    <w:rsid w:val="00BA66BB"/>
    <w:rsid w:val="00C071D4"/>
    <w:rsid w:val="00CB6C18"/>
    <w:rsid w:val="00E00103"/>
    <w:rsid w:val="00F2626C"/>
    <w:rsid w:val="00F901D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0C97-AA02-4EA5-A019-1BBCA1A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F85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3F2F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3F2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3F2F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3F2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3F2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3F2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3F2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3F2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3F2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33F85"/>
    <w:rPr>
      <w:rFonts w:ascii="Tahoma" w:hAnsi="Tahoma" w:cs="Tahoma"/>
      <w:sz w:val="21"/>
      <w:szCs w:val="21"/>
    </w:rPr>
  </w:style>
  <w:style w:type="character" w:customStyle="1" w:styleId="CharacterStyle3">
    <w:name w:val="Character Style 3"/>
    <w:uiPriority w:val="99"/>
    <w:rsid w:val="00133F85"/>
    <w:rPr>
      <w:rFonts w:ascii="Times" w:hAnsi="Times" w:cs="Times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3F2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3F2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7A3F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3F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3F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3F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3F2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3F2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3F2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3F2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3F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3F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0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D7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0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D7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BALZAROLO</dc:creator>
  <cp:keywords/>
  <dc:description/>
  <cp:lastModifiedBy>Tec02 Tecnico02</cp:lastModifiedBy>
  <cp:revision>4</cp:revision>
  <dcterms:created xsi:type="dcterms:W3CDTF">2019-02-15T00:28:00Z</dcterms:created>
  <dcterms:modified xsi:type="dcterms:W3CDTF">2021-12-15T14:48:00Z</dcterms:modified>
</cp:coreProperties>
</file>